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C7DE" w14:textId="77777777" w:rsidR="00132AAF" w:rsidRPr="006B5679" w:rsidRDefault="00132AAF" w:rsidP="00132AAF">
      <w:pPr>
        <w:tabs>
          <w:tab w:val="left" w:pos="9356"/>
        </w:tabs>
        <w:adjustRightInd w:val="0"/>
        <w:ind w:left="993" w:rightChars="795" w:right="1669" w:firstLine="141"/>
        <w:jc w:val="left"/>
        <w:rPr>
          <w:rFonts w:ascii="ＭＳ ゴシック" w:eastAsia="ＭＳ ゴシック" w:hAnsi="ＭＳ ゴシック"/>
        </w:rPr>
      </w:pPr>
    </w:p>
    <w:p w14:paraId="24C87E2B" w14:textId="26E7F48D" w:rsidR="00132AAF" w:rsidRPr="006B5679" w:rsidRDefault="00132AAF" w:rsidP="006B5679">
      <w:pPr>
        <w:tabs>
          <w:tab w:val="left" w:pos="9356"/>
        </w:tabs>
        <w:adjustRightInd w:val="0"/>
        <w:ind w:left="993" w:rightChars="795" w:right="1669" w:firstLine="141"/>
        <w:jc w:val="left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  <w:r w:rsidRPr="006B5679">
        <w:rPr>
          <w:rFonts w:ascii="ＭＳ ゴシック" w:eastAsia="ＭＳ ゴシック" w:hAnsi="ＭＳ ゴシック" w:cs="ＭＳＰ明朝"/>
          <w:kern w:val="0"/>
          <w:sz w:val="22"/>
          <w:szCs w:val="22"/>
        </w:rPr>
        <w:t>NMR</w:t>
      </w:r>
      <w:r w:rsidRPr="006B5679">
        <w:rPr>
          <w:rFonts w:ascii="ＭＳ ゴシック" w:eastAsia="ＭＳ ゴシック" w:hAnsi="ＭＳ ゴシック" w:cs="ＭＳＰ明朝" w:hint="eastAsia"/>
          <w:kern w:val="0"/>
          <w:sz w:val="22"/>
          <w:szCs w:val="22"/>
        </w:rPr>
        <w:t>施設利用誓約書誓約事項</w:t>
      </w:r>
    </w:p>
    <w:p w14:paraId="3A9D0E64" w14:textId="77777777" w:rsidR="00132AAF" w:rsidRPr="006B5679" w:rsidRDefault="00132AAF" w:rsidP="006B5679">
      <w:pPr>
        <w:tabs>
          <w:tab w:val="left" w:pos="9356"/>
        </w:tabs>
        <w:adjustRightInd w:val="0"/>
        <w:ind w:leftChars="202" w:left="424" w:rightChars="795" w:right="1669" w:firstLine="141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</w:p>
    <w:p w14:paraId="363DD2D8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（基本方針）</w:t>
      </w:r>
    </w:p>
    <w:p w14:paraId="7CCE6B00" w14:textId="6C63D185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１．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NMR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施設を利用して行う利用課題は、平和目的に限定し、利用実験を安全に実施するとともに、他の利用研究</w:t>
      </w:r>
      <w:r w:rsidR="0073337D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者等との良好な関係を確保すること。このため、関係法令、</w:t>
      </w:r>
      <w:r w:rsidR="00134FEC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東北大学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の規程及び各種手続き等を遵守すること。また、</w:t>
      </w:r>
      <w:r w:rsidR="00134FEC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東北メディカル・メガバンク機構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側担当者（以下、担当者と略す）が行う安全及び管理のための指示に従</w:t>
      </w:r>
      <w:r w:rsidR="00AB7805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うこと。</w:t>
      </w:r>
    </w:p>
    <w:p w14:paraId="15EBEA98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（傷害保険）</w:t>
      </w:r>
    </w:p>
    <w:p w14:paraId="16938BFC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２．不慮の事故に備えて利用者は傷害保険等（労働者災害補償保険法に基づくものを含む。）に加入すること。</w:t>
      </w:r>
    </w:p>
    <w:p w14:paraId="356DEFF4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（物品、薬品等の持込等）</w:t>
      </w:r>
    </w:p>
    <w:p w14:paraId="559B4053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  <w:u w:val="single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３．実験に使用する物品、薬品等は、所定の手続きに従って持ち込み、善良な管理者の注意義務をもって管理すること。また、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  <w:u w:val="single"/>
        </w:rPr>
        <w:t>持ち込んだ物品、薬品等は全て責任を持って所属機関まで持ち帰ること。</w:t>
      </w:r>
    </w:p>
    <w:p w14:paraId="3FFFA471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（施設、設備等の使用）</w:t>
      </w:r>
    </w:p>
    <w:p w14:paraId="4D54594B" w14:textId="140915B8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４．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NMR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施設及びそれに附属する施設、設備並びに物品の使用にあたっては、担当者の指示に従うこと。また、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  <w:u w:val="single"/>
        </w:rPr>
        <w:t>使用後は従前の状態及び場所に戻すこと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。</w:t>
      </w:r>
    </w:p>
    <w:p w14:paraId="37F26EB5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（利用の開始）</w:t>
      </w:r>
    </w:p>
    <w:p w14:paraId="6A8DF523" w14:textId="3B92FE8C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５．実験の開始前に、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NMR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施設の機能及び整備状況等について、所定の確認を行い、異常があれば、担当者に連絡すること。また担当者が指示する場合は、必要な点検を受けること。</w:t>
      </w:r>
    </w:p>
    <w:p w14:paraId="63022252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（利用の終了）</w:t>
      </w:r>
    </w:p>
    <w:p w14:paraId="63EB7F20" w14:textId="113C1E60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６．実験の終了後に、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NMR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施設の機能及び整備状況等について、所定の点検を受けること。この場合、点検結果を基に原状回復にかかる指示がある場合は、その指示に従い所要の措置を講じること。</w:t>
      </w:r>
    </w:p>
    <w:p w14:paraId="5C78D892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 xml:space="preserve">NMR 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施設利用時間の減少</w:t>
      </w:r>
      <w:r w:rsidR="00A473E8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・遅延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）</w:t>
      </w:r>
    </w:p>
    <w:p w14:paraId="23195319" w14:textId="569B0484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７．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NMR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施設利用時間の減少</w:t>
      </w:r>
      <w:r w:rsidR="00A473E8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・遅延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等に伴って損害が生じた場合、</w:t>
      </w:r>
      <w:r w:rsidR="00134FEC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東北大学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の故意又は重大な過失がない限り、</w:t>
      </w:r>
      <w:r w:rsidR="00134FEC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東北大学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に対していかなる賠償請求を行わないこと。</w:t>
      </w:r>
    </w:p>
    <w:p w14:paraId="1D95BBCD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（利用報告書）</w:t>
      </w:r>
    </w:p>
    <w:p w14:paraId="14527986" w14:textId="7C0E7402" w:rsidR="00132AAF" w:rsidRPr="006B5679" w:rsidRDefault="00AF1019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８．</w:t>
      </w:r>
      <w:r w:rsidR="0043411E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「成果</w:t>
      </w:r>
      <w:r w:rsidR="00BF441F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公開</w:t>
      </w:r>
      <w:r w:rsidR="0043411E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利用」、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「最先端</w:t>
      </w:r>
      <w:r w:rsidR="0043411E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利用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開発</w:t>
      </w:r>
      <w:r w:rsidR="0043411E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」</w:t>
      </w:r>
      <w:r w:rsidR="00132AAF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で利用した場合</w:t>
      </w:r>
      <w:r w:rsidR="0043411E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（「成果占有利用」を除く）</w:t>
      </w:r>
      <w:r w:rsidR="00132AAF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、実験期間の終了後、担当者が指定する期日までに所定の利用報告書を提出すること。また、利用報告書の印刷、発行、統計処理及び</w:t>
      </w:r>
      <w:r w:rsidR="00FC3AEC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東北大学</w:t>
      </w:r>
      <w:r w:rsidR="00132AAF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の発行物等の編集に必要な加工を</w:t>
      </w:r>
      <w:r w:rsidR="00FC3AEC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東北大学</w:t>
      </w:r>
      <w:r w:rsidR="00132AAF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が自由に行うことに同意すること。利用報告書を提出しなかった場合は、所要経費を</w:t>
      </w:r>
      <w:r w:rsidR="00FC3AEC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東北大学</w:t>
      </w:r>
      <w:r w:rsidR="00132AAF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からの請求に従い支払うこと。</w:t>
      </w:r>
    </w:p>
    <w:p w14:paraId="3B0CB92F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（利用研究成果）</w:t>
      </w:r>
    </w:p>
    <w:p w14:paraId="7229200E" w14:textId="329BB453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９．利用研究成果の内容を含む科学技術論文、書籍等の印刷物には「</w:t>
      </w:r>
      <w:r w:rsidR="00FC3AEC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東北大学東北メディカル・メガバンク機構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NMR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施設を利用した結果である。」ことを記述するとともに、その印刷物（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1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部）を提出し、所定の連絡をすること。</w:t>
      </w:r>
    </w:p>
    <w:p w14:paraId="2EBFAD14" w14:textId="04B7F54B" w:rsidR="00132AAF" w:rsidRPr="006B5679" w:rsidRDefault="00132AAF" w:rsidP="006B5679">
      <w:pPr>
        <w:tabs>
          <w:tab w:val="left" w:pos="9356"/>
        </w:tabs>
        <w:adjustRightInd w:val="0"/>
        <w:ind w:leftChars="200" w:left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また、</w:t>
      </w:r>
      <w:r w:rsidR="00FC3AEC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東北大学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が行う成果報告会・シンポジウム等において資料作成・発表に協力すること。</w:t>
      </w:r>
    </w:p>
    <w:p w14:paraId="0A5F92A3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（特許等）</w:t>
      </w:r>
    </w:p>
    <w:p w14:paraId="0F893DCD" w14:textId="28A4D563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10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．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NMR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施設を利用した成果に属する発明又は考案について、特許又は実用新案を出願した場合には、公開後速やかに特許出願番号等を担当者に報告すること。</w:t>
      </w:r>
    </w:p>
    <w:p w14:paraId="1F1498FF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（事故等）</w:t>
      </w:r>
    </w:p>
    <w:p w14:paraId="743E38F6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11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．事故及び災害の際は、実験責任者が責任をもって対処し、速やかに担当者へ連絡すること。</w:t>
      </w:r>
    </w:p>
    <w:p w14:paraId="121C3CC4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（使用の停止）</w:t>
      </w:r>
    </w:p>
    <w:p w14:paraId="5DD8A0AF" w14:textId="5B277094" w:rsidR="0032241E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 w:hint="eastAsia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12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．この誓約書に規定する事項を守らなかった場合、</w:t>
      </w:r>
      <w:r w:rsidR="00FC3AEC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東北大学東北メディカル・メガバンク機構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NM</w:t>
      </w:r>
      <w:r w:rsidR="0032241E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R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施設に提出する書類に虚偽の記載があることが判明した場合、もしくは、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NMR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施設の運営に支障をきたすと</w:t>
      </w:r>
      <w:r w:rsidR="00FC3AEC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東北大学東北メディカル・メガバンク機構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NMR施設が判断した場合は、</w:t>
      </w:r>
      <w:r w:rsidR="00FC3AEC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東北大学東北メディカル・メガバンク機構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NMR施設が行う使用停止等の指示に従うこと。</w:t>
      </w:r>
    </w:p>
    <w:p w14:paraId="0DDFFBE2" w14:textId="112BF166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（賠償責任）</w:t>
      </w:r>
    </w:p>
    <w:p w14:paraId="64CED4CE" w14:textId="7A23897D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13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．故意又は重大な過失によって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NMR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施設及びそれに附属する施設、設備並びに物品に損害を及ぼしたときは、損害の全部又は一部を賠償すること。</w:t>
      </w:r>
    </w:p>
    <w:p w14:paraId="6DC6DC84" w14:textId="7777777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lastRenderedPageBreak/>
        <w:t>（紛争処理）</w:t>
      </w:r>
    </w:p>
    <w:p w14:paraId="0106B38F" w14:textId="3DDFFE97" w:rsidR="00132AAF" w:rsidRPr="006B5679" w:rsidRDefault="00132AAF" w:rsidP="006B5679">
      <w:pPr>
        <w:tabs>
          <w:tab w:val="left" w:pos="9356"/>
        </w:tabs>
        <w:adjustRightInd w:val="0"/>
        <w:ind w:left="420" w:hangingChars="200" w:hanging="42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14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．この誓約書について疑義又は紛争が生じたときは、相互に協議、解決を図ると共に日本国の法律に基づき</w:t>
      </w:r>
      <w:r w:rsidR="00FC3AEC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東北大学東北メディカル・メガバンク機構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NMR施設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の所在地の裁判所において解決すること。</w:t>
      </w:r>
    </w:p>
    <w:p w14:paraId="7923354F" w14:textId="77777777" w:rsidR="00132AAF" w:rsidRPr="006B5679" w:rsidRDefault="00132AAF" w:rsidP="006B5679">
      <w:pPr>
        <w:pStyle w:val="ac"/>
        <w:tabs>
          <w:tab w:val="left" w:pos="9356"/>
        </w:tabs>
        <w:ind w:leftChars="607" w:left="1277" w:rightChars="795" w:right="1669" w:hanging="2"/>
      </w:pPr>
      <w:r w:rsidRPr="006B5679">
        <w:rPr>
          <w:rFonts w:hint="eastAsia"/>
        </w:rPr>
        <w:t>以上</w:t>
      </w:r>
    </w:p>
    <w:p w14:paraId="56C11907" w14:textId="77777777" w:rsidR="00132AAF" w:rsidRPr="006B5679" w:rsidRDefault="00132AAF" w:rsidP="006B5679">
      <w:pPr>
        <w:tabs>
          <w:tab w:val="left" w:pos="9356"/>
        </w:tabs>
        <w:adjustRightInd w:val="0"/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</w:p>
    <w:p w14:paraId="48E9F430" w14:textId="77777777" w:rsidR="00132AAF" w:rsidRPr="006B5679" w:rsidRDefault="00132AAF" w:rsidP="006B5679">
      <w:pPr>
        <w:tabs>
          <w:tab w:val="left" w:pos="9356"/>
        </w:tabs>
        <w:adjustRightInd w:val="0"/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</w:p>
    <w:p w14:paraId="5249BCB0" w14:textId="77777777" w:rsidR="00132AAF" w:rsidRPr="006B5679" w:rsidRDefault="00132AAF" w:rsidP="006B5679">
      <w:pPr>
        <w:tabs>
          <w:tab w:val="left" w:pos="9356"/>
        </w:tabs>
        <w:adjustRightInd w:val="0"/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</w:p>
    <w:p w14:paraId="71D89150" w14:textId="5536CBB5" w:rsidR="00132AAF" w:rsidRPr="006B5679" w:rsidRDefault="005D58DF" w:rsidP="006B5679">
      <w:pPr>
        <w:tabs>
          <w:tab w:val="left" w:pos="9356"/>
        </w:tabs>
        <w:adjustRightInd w:val="0"/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令和</w:t>
      </w:r>
      <w:r w:rsidR="007B6B23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 xml:space="preserve">　　</w:t>
      </w:r>
      <w:r w:rsidR="00132AAF" w:rsidRPr="006B5679">
        <w:rPr>
          <w:rFonts w:ascii="ＭＳ ゴシック" w:eastAsia="ＭＳ ゴシック" w:hAnsi="ＭＳ ゴシック" w:cs="ＭＳＰ明朝"/>
          <w:kern w:val="0"/>
          <w:szCs w:val="21"/>
        </w:rPr>
        <w:t xml:space="preserve"> </w:t>
      </w:r>
      <w:r w:rsidR="00132AAF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年</w:t>
      </w:r>
      <w:r w:rsidR="007B6B23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 xml:space="preserve">　　</w:t>
      </w:r>
      <w:r w:rsidR="00132AAF" w:rsidRPr="006B5679">
        <w:rPr>
          <w:rFonts w:ascii="ＭＳ ゴシック" w:eastAsia="ＭＳ ゴシック" w:hAnsi="ＭＳ ゴシック" w:cs="ＭＳＰ明朝"/>
          <w:kern w:val="0"/>
          <w:szCs w:val="21"/>
        </w:rPr>
        <w:t xml:space="preserve"> </w:t>
      </w:r>
      <w:r w:rsidR="00132AAF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月</w:t>
      </w:r>
      <w:r w:rsidR="007B6B23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 xml:space="preserve">　　</w:t>
      </w:r>
      <w:r w:rsidR="00132AAF" w:rsidRPr="006B5679">
        <w:rPr>
          <w:rFonts w:ascii="ＭＳ ゴシック" w:eastAsia="ＭＳ ゴシック" w:hAnsi="ＭＳ ゴシック" w:cs="ＭＳＰ明朝"/>
          <w:kern w:val="0"/>
          <w:szCs w:val="21"/>
        </w:rPr>
        <w:t xml:space="preserve"> </w:t>
      </w:r>
      <w:r w:rsidR="00132AAF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日</w:t>
      </w:r>
    </w:p>
    <w:p w14:paraId="1C4BA10D" w14:textId="3231CB53" w:rsidR="00132AAF" w:rsidRPr="006B5679" w:rsidRDefault="00132AAF" w:rsidP="006B5679">
      <w:pPr>
        <w:tabs>
          <w:tab w:val="left" w:pos="9356"/>
        </w:tabs>
        <w:adjustRightInd w:val="0"/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当該利用期間（誓約の日より</w:t>
      </w:r>
      <w:r w:rsidR="005D58DF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令和</w:t>
      </w:r>
      <w:r w:rsidR="0043411E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 xml:space="preserve">　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 xml:space="preserve"> 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年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 xml:space="preserve"> </w:t>
      </w:r>
      <w:r w:rsidR="0043411E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 xml:space="preserve">　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月</w:t>
      </w:r>
      <w:r w:rsidR="0043411E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 xml:space="preserve">　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 xml:space="preserve"> 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日まで）において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 xml:space="preserve">NMR 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施設利用を実施するに当たっては、上記事項を確認し、誠実に履行することを誓約します。</w:t>
      </w:r>
    </w:p>
    <w:p w14:paraId="1C6E3449" w14:textId="77777777" w:rsidR="00AE3C41" w:rsidRPr="006B5679" w:rsidRDefault="00AE3C41" w:rsidP="006B5679">
      <w:pPr>
        <w:tabs>
          <w:tab w:val="left" w:pos="9356"/>
        </w:tabs>
        <w:adjustRightInd w:val="0"/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</w:p>
    <w:p w14:paraId="4AD88FB6" w14:textId="5A99301D" w:rsidR="00132AAF" w:rsidRPr="006B5679" w:rsidRDefault="00132AAF" w:rsidP="006B5679">
      <w:pPr>
        <w:tabs>
          <w:tab w:val="left" w:pos="9356"/>
        </w:tabs>
        <w:adjustRightInd w:val="0"/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NMR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施設利用機関名：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 xml:space="preserve"> </w:t>
      </w:r>
    </w:p>
    <w:p w14:paraId="710E25FC" w14:textId="77777777" w:rsidR="00AE3C41" w:rsidRPr="006B5679" w:rsidRDefault="00AE3C41" w:rsidP="006B5679">
      <w:pPr>
        <w:tabs>
          <w:tab w:val="left" w:pos="9356"/>
        </w:tabs>
        <w:adjustRightInd w:val="0"/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</w:p>
    <w:p w14:paraId="46D431D4" w14:textId="405E6D0E" w:rsidR="00132AAF" w:rsidRPr="006B5679" w:rsidRDefault="00132AAF" w:rsidP="006B5679">
      <w:pPr>
        <w:tabs>
          <w:tab w:val="left" w:pos="9356"/>
        </w:tabs>
        <w:adjustRightInd w:val="0"/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（所在地：）</w:t>
      </w:r>
    </w:p>
    <w:p w14:paraId="55886077" w14:textId="77777777" w:rsidR="00AE3C41" w:rsidRPr="006B5679" w:rsidRDefault="00AE3C41" w:rsidP="006B5679">
      <w:pPr>
        <w:tabs>
          <w:tab w:val="left" w:pos="9356"/>
        </w:tabs>
        <w:adjustRightInd w:val="0"/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</w:p>
    <w:p w14:paraId="6BE995E3" w14:textId="312CD795" w:rsidR="00132AAF" w:rsidRPr="006B5679" w:rsidRDefault="00132AAF" w:rsidP="006B5679">
      <w:pPr>
        <w:tabs>
          <w:tab w:val="left" w:pos="9356"/>
        </w:tabs>
        <w:adjustRightInd w:val="0"/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実験責任者氏名：</w:t>
      </w:r>
      <w:r w:rsidR="0032241E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 xml:space="preserve">　　　　　　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印</w:t>
      </w:r>
    </w:p>
    <w:p w14:paraId="7B280B70" w14:textId="77777777" w:rsidR="00AE3C41" w:rsidRPr="006B5679" w:rsidRDefault="00AE3C41" w:rsidP="006B5679">
      <w:pPr>
        <w:tabs>
          <w:tab w:val="left" w:pos="9356"/>
        </w:tabs>
        <w:adjustRightInd w:val="0"/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</w:p>
    <w:p w14:paraId="1F674104" w14:textId="018A9A9D" w:rsidR="00876A4F" w:rsidRPr="006B5679" w:rsidRDefault="00132AAF" w:rsidP="006B5679">
      <w:pPr>
        <w:tabs>
          <w:tab w:val="left" w:pos="9356"/>
        </w:tabs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（所属・役職：）</w:t>
      </w:r>
    </w:p>
    <w:p w14:paraId="4BA0F285" w14:textId="77777777" w:rsidR="00876A4F" w:rsidRPr="006B5679" w:rsidRDefault="00876A4F" w:rsidP="006B5679">
      <w:pPr>
        <w:tabs>
          <w:tab w:val="left" w:pos="9356"/>
        </w:tabs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</w:p>
    <w:p w14:paraId="7884AC62" w14:textId="77777777" w:rsidR="00876A4F" w:rsidRPr="006B5679" w:rsidRDefault="00876A4F" w:rsidP="006B5679">
      <w:pPr>
        <w:tabs>
          <w:tab w:val="left" w:pos="9356"/>
        </w:tabs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</w:p>
    <w:p w14:paraId="4A1B6194" w14:textId="77777777" w:rsidR="007614F3" w:rsidRPr="006B5679" w:rsidRDefault="007614F3" w:rsidP="006B5679">
      <w:pPr>
        <w:tabs>
          <w:tab w:val="left" w:pos="9356"/>
        </w:tabs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</w:p>
    <w:p w14:paraId="6E3D68E7" w14:textId="77777777" w:rsidR="007614F3" w:rsidRPr="006B5679" w:rsidRDefault="007614F3" w:rsidP="006B5679">
      <w:pPr>
        <w:tabs>
          <w:tab w:val="left" w:pos="9356"/>
        </w:tabs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</w:p>
    <w:p w14:paraId="6428152B" w14:textId="70C0F599" w:rsidR="007614F3" w:rsidRPr="006B5679" w:rsidRDefault="007614F3" w:rsidP="006B5679">
      <w:pPr>
        <w:tabs>
          <w:tab w:val="left" w:pos="9356"/>
        </w:tabs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送付先</w:t>
      </w:r>
    </w:p>
    <w:p w14:paraId="74749E66" w14:textId="31E535B4" w:rsidR="007614F3" w:rsidRPr="006B5679" w:rsidRDefault="007614F3" w:rsidP="006B5679">
      <w:pPr>
        <w:tabs>
          <w:tab w:val="left" w:pos="9356"/>
        </w:tabs>
        <w:ind w:leftChars="607" w:left="1277" w:rightChars="795" w:right="1669" w:hanging="2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〒</w:t>
      </w:r>
      <w:r w:rsidR="00FC3AEC" w:rsidRPr="006B5679">
        <w:rPr>
          <w:rFonts w:ascii="ＭＳ ゴシック" w:eastAsia="ＭＳ ゴシック" w:hAnsi="ＭＳ ゴシック" w:cs="ＭＳＰ明朝"/>
          <w:kern w:val="0"/>
          <w:szCs w:val="21"/>
        </w:rPr>
        <w:t>980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-</w:t>
      </w:r>
      <w:r w:rsidR="00FC3AEC" w:rsidRPr="006B5679">
        <w:rPr>
          <w:rFonts w:ascii="ＭＳ ゴシック" w:eastAsia="ＭＳ ゴシック" w:hAnsi="ＭＳ ゴシック" w:cs="ＭＳＰ明朝"/>
          <w:kern w:val="0"/>
          <w:szCs w:val="21"/>
        </w:rPr>
        <w:t xml:space="preserve">8573　</w:t>
      </w:r>
      <w:r w:rsidR="00FC3AEC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宮城県仙台市青葉区星陵町</w:t>
      </w:r>
      <w:r w:rsidR="00FC3AEC" w:rsidRPr="006B5679">
        <w:rPr>
          <w:rFonts w:ascii="ＭＳ ゴシック" w:eastAsia="ＭＳ ゴシック" w:hAnsi="ＭＳ ゴシック" w:cs="ＭＳＰ明朝"/>
          <w:kern w:val="0"/>
          <w:szCs w:val="21"/>
        </w:rPr>
        <w:t>2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－</w:t>
      </w:r>
      <w:r w:rsidR="00FC3AEC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1</w:t>
      </w:r>
    </w:p>
    <w:p w14:paraId="38ED9A21" w14:textId="205732B7" w:rsidR="007614F3" w:rsidRPr="006B5679" w:rsidRDefault="00FC3AEC" w:rsidP="006B5679">
      <w:pPr>
        <w:tabs>
          <w:tab w:val="left" w:pos="9356"/>
        </w:tabs>
        <w:ind w:leftChars="607" w:left="1275" w:rightChars="795" w:right="1669" w:firstLineChars="100" w:firstLine="21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東北大学東北メディカル・メガバンク機構</w:t>
      </w:r>
      <w:r w:rsidR="007614F3" w:rsidRPr="006B5679">
        <w:rPr>
          <w:rFonts w:ascii="ＭＳ ゴシック" w:eastAsia="ＭＳ ゴシック" w:hAnsi="ＭＳ ゴシック" w:cs="ＭＳＰ明朝"/>
          <w:kern w:val="0"/>
          <w:szCs w:val="21"/>
        </w:rPr>
        <w:t xml:space="preserve">　</w:t>
      </w: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生体分子解析分野</w:t>
      </w:r>
    </w:p>
    <w:p w14:paraId="0E3EAD32" w14:textId="207A4EFB" w:rsidR="007614F3" w:rsidRPr="006B5679" w:rsidRDefault="00FC3AEC" w:rsidP="006B5679">
      <w:pPr>
        <w:tabs>
          <w:tab w:val="left" w:pos="9356"/>
        </w:tabs>
        <w:ind w:leftChars="607" w:left="1275" w:rightChars="795" w:right="1669" w:firstLineChars="100" w:firstLine="21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共用事業</w:t>
      </w:r>
      <w:r w:rsidR="007614F3" w:rsidRPr="006B5679">
        <w:rPr>
          <w:rFonts w:ascii="ＭＳ ゴシック" w:eastAsia="ＭＳ ゴシック" w:hAnsi="ＭＳ ゴシック" w:cs="ＭＳＰ明朝" w:hint="eastAsia"/>
          <w:kern w:val="0"/>
          <w:szCs w:val="21"/>
        </w:rPr>
        <w:t>担</w:t>
      </w:r>
      <w:r w:rsidR="007614F3" w:rsidRPr="006B5679">
        <w:rPr>
          <w:rFonts w:ascii="ＭＳ ゴシック" w:eastAsia="ＭＳ ゴシック" w:hAnsi="ＭＳ ゴシック" w:cs="ＭＳＰ明朝"/>
          <w:kern w:val="0"/>
          <w:szCs w:val="21"/>
        </w:rPr>
        <w:t>当</w:t>
      </w:r>
    </w:p>
    <w:p w14:paraId="359AECC3" w14:textId="2C6ACB1B" w:rsidR="007614F3" w:rsidRPr="006B5679" w:rsidRDefault="007614F3" w:rsidP="006B5679">
      <w:pPr>
        <w:tabs>
          <w:tab w:val="left" w:pos="9356"/>
        </w:tabs>
        <w:ind w:leftChars="607" w:left="1275" w:rightChars="795" w:right="1669" w:firstLineChars="100" w:firstLine="210"/>
        <w:jc w:val="left"/>
        <w:rPr>
          <w:rFonts w:ascii="ＭＳ ゴシック" w:eastAsia="ＭＳ ゴシック" w:hAnsi="ＭＳ ゴシック" w:cs="ＭＳＰ明朝"/>
          <w:kern w:val="0"/>
          <w:szCs w:val="21"/>
        </w:rPr>
      </w:pP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 xml:space="preserve">TEL. </w:t>
      </w:r>
      <w:r w:rsidR="00FC3AEC" w:rsidRPr="006B5679">
        <w:rPr>
          <w:rFonts w:ascii="ＭＳ ゴシック" w:eastAsia="ＭＳ ゴシック" w:hAnsi="ＭＳ ゴシック" w:cs="ＭＳＰ明朝"/>
          <w:kern w:val="0"/>
          <w:szCs w:val="21"/>
        </w:rPr>
        <w:t>022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-</w:t>
      </w:r>
      <w:r w:rsidR="00FC3AEC" w:rsidRPr="006B5679">
        <w:rPr>
          <w:rFonts w:ascii="ＭＳ ゴシック" w:eastAsia="ＭＳ ゴシック" w:hAnsi="ＭＳ ゴシック" w:cs="ＭＳＰ明朝"/>
          <w:kern w:val="0"/>
          <w:szCs w:val="21"/>
        </w:rPr>
        <w:t>274</w:t>
      </w:r>
      <w:r w:rsidRPr="006B5679">
        <w:rPr>
          <w:rFonts w:ascii="ＭＳ ゴシック" w:eastAsia="ＭＳ ゴシック" w:hAnsi="ＭＳ ゴシック" w:cs="ＭＳＰ明朝"/>
          <w:kern w:val="0"/>
          <w:szCs w:val="21"/>
        </w:rPr>
        <w:t>-</w:t>
      </w:r>
      <w:r w:rsidR="00FC3AEC" w:rsidRPr="006B5679">
        <w:rPr>
          <w:rFonts w:ascii="ＭＳ ゴシック" w:eastAsia="ＭＳ ゴシック" w:hAnsi="ＭＳ ゴシック" w:cs="ＭＳＰ明朝"/>
          <w:kern w:val="0"/>
          <w:szCs w:val="21"/>
        </w:rPr>
        <w:t>6016</w:t>
      </w:r>
    </w:p>
    <w:sectPr w:rsidR="007614F3" w:rsidRPr="006B5679" w:rsidSect="0032241E">
      <w:pgSz w:w="11906" w:h="16838" w:code="9"/>
      <w:pgMar w:top="1134" w:right="1134" w:bottom="851" w:left="1134" w:header="851" w:footer="454" w:gutter="0"/>
      <w:cols w:space="425"/>
      <w:docGrid w:type="lines" w:linePitch="286" w:charSpace="-3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9784" w14:textId="77777777" w:rsidR="00AB3E02" w:rsidRDefault="00AB3E02">
      <w:r>
        <w:separator/>
      </w:r>
    </w:p>
  </w:endnote>
  <w:endnote w:type="continuationSeparator" w:id="0">
    <w:p w14:paraId="70AA4979" w14:textId="77777777" w:rsidR="00AB3E02" w:rsidRDefault="00AB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DD83" w14:textId="77777777" w:rsidR="00AB3E02" w:rsidRDefault="00AB3E02">
      <w:r>
        <w:separator/>
      </w:r>
    </w:p>
  </w:footnote>
  <w:footnote w:type="continuationSeparator" w:id="0">
    <w:p w14:paraId="74F35B2E" w14:textId="77777777" w:rsidR="00AB3E02" w:rsidRDefault="00AB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71D"/>
    <w:multiLevelType w:val="hybridMultilevel"/>
    <w:tmpl w:val="EA8823B2"/>
    <w:lvl w:ilvl="0" w:tplc="DE8643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60F119E"/>
    <w:multiLevelType w:val="hybridMultilevel"/>
    <w:tmpl w:val="568EE0C0"/>
    <w:lvl w:ilvl="0" w:tplc="92042E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D93C73"/>
    <w:multiLevelType w:val="hybridMultilevel"/>
    <w:tmpl w:val="D87490C8"/>
    <w:lvl w:ilvl="0" w:tplc="D1D44E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2F54FA"/>
    <w:multiLevelType w:val="hybridMultilevel"/>
    <w:tmpl w:val="80942FCE"/>
    <w:lvl w:ilvl="0" w:tplc="1AE29F6C">
      <w:start w:val="4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36"/>
    <w:rsid w:val="000130D7"/>
    <w:rsid w:val="00034622"/>
    <w:rsid w:val="000A1CE2"/>
    <w:rsid w:val="000C0AF9"/>
    <w:rsid w:val="001147F7"/>
    <w:rsid w:val="00122C38"/>
    <w:rsid w:val="00132AAF"/>
    <w:rsid w:val="00134FEC"/>
    <w:rsid w:val="00137F8F"/>
    <w:rsid w:val="00147C0F"/>
    <w:rsid w:val="00157956"/>
    <w:rsid w:val="001A358C"/>
    <w:rsid w:val="001B00E0"/>
    <w:rsid w:val="001B018A"/>
    <w:rsid w:val="001B0DC4"/>
    <w:rsid w:val="001C5E12"/>
    <w:rsid w:val="001F0833"/>
    <w:rsid w:val="0020620C"/>
    <w:rsid w:val="00207F85"/>
    <w:rsid w:val="0024629B"/>
    <w:rsid w:val="002A6017"/>
    <w:rsid w:val="002B1D37"/>
    <w:rsid w:val="002D3A3E"/>
    <w:rsid w:val="002D6540"/>
    <w:rsid w:val="002F606A"/>
    <w:rsid w:val="0032241E"/>
    <w:rsid w:val="003940FC"/>
    <w:rsid w:val="00394EFE"/>
    <w:rsid w:val="0039618E"/>
    <w:rsid w:val="003C1D6E"/>
    <w:rsid w:val="003F7759"/>
    <w:rsid w:val="0043411E"/>
    <w:rsid w:val="0045256A"/>
    <w:rsid w:val="00482D7D"/>
    <w:rsid w:val="004A5952"/>
    <w:rsid w:val="004A6CD0"/>
    <w:rsid w:val="004F5103"/>
    <w:rsid w:val="00500C04"/>
    <w:rsid w:val="0050431A"/>
    <w:rsid w:val="00557C4B"/>
    <w:rsid w:val="00580EE8"/>
    <w:rsid w:val="005D58DF"/>
    <w:rsid w:val="006031C2"/>
    <w:rsid w:val="00625611"/>
    <w:rsid w:val="006273BE"/>
    <w:rsid w:val="006601DB"/>
    <w:rsid w:val="00697C09"/>
    <w:rsid w:val="006A1D62"/>
    <w:rsid w:val="006B5679"/>
    <w:rsid w:val="006E779B"/>
    <w:rsid w:val="006F1152"/>
    <w:rsid w:val="006F5383"/>
    <w:rsid w:val="00717C70"/>
    <w:rsid w:val="00721B5A"/>
    <w:rsid w:val="0073337D"/>
    <w:rsid w:val="00735093"/>
    <w:rsid w:val="007614F3"/>
    <w:rsid w:val="00771098"/>
    <w:rsid w:val="007A04B9"/>
    <w:rsid w:val="007A2B26"/>
    <w:rsid w:val="007B6B23"/>
    <w:rsid w:val="007C4781"/>
    <w:rsid w:val="007F04CB"/>
    <w:rsid w:val="008530C5"/>
    <w:rsid w:val="00876A4F"/>
    <w:rsid w:val="008D2AB1"/>
    <w:rsid w:val="008E06DB"/>
    <w:rsid w:val="008E13C6"/>
    <w:rsid w:val="0092121D"/>
    <w:rsid w:val="009904F2"/>
    <w:rsid w:val="009B12C9"/>
    <w:rsid w:val="009B1A6F"/>
    <w:rsid w:val="009C396B"/>
    <w:rsid w:val="009D5D41"/>
    <w:rsid w:val="009D6760"/>
    <w:rsid w:val="009F7F37"/>
    <w:rsid w:val="00A13503"/>
    <w:rsid w:val="00A14AB6"/>
    <w:rsid w:val="00A20F59"/>
    <w:rsid w:val="00A212F4"/>
    <w:rsid w:val="00A473E8"/>
    <w:rsid w:val="00A965A9"/>
    <w:rsid w:val="00AA5149"/>
    <w:rsid w:val="00AB3E02"/>
    <w:rsid w:val="00AB7805"/>
    <w:rsid w:val="00AE3C41"/>
    <w:rsid w:val="00AE6A43"/>
    <w:rsid w:val="00AF1019"/>
    <w:rsid w:val="00B2158B"/>
    <w:rsid w:val="00B30138"/>
    <w:rsid w:val="00B53FB0"/>
    <w:rsid w:val="00B9098C"/>
    <w:rsid w:val="00BA390C"/>
    <w:rsid w:val="00BC286D"/>
    <w:rsid w:val="00BC6D5E"/>
    <w:rsid w:val="00BF441F"/>
    <w:rsid w:val="00C17F89"/>
    <w:rsid w:val="00C83C47"/>
    <w:rsid w:val="00CD3A40"/>
    <w:rsid w:val="00CD75CA"/>
    <w:rsid w:val="00D83F30"/>
    <w:rsid w:val="00D92D47"/>
    <w:rsid w:val="00DB1836"/>
    <w:rsid w:val="00DF16A6"/>
    <w:rsid w:val="00E7093E"/>
    <w:rsid w:val="00EA1EBD"/>
    <w:rsid w:val="00EA466A"/>
    <w:rsid w:val="00EF7345"/>
    <w:rsid w:val="00F330A4"/>
    <w:rsid w:val="00F34844"/>
    <w:rsid w:val="00F46EA6"/>
    <w:rsid w:val="00F93AEA"/>
    <w:rsid w:val="00F94BD3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72210"/>
  <w15:docId w15:val="{F7C15491-7427-4BB7-B6D1-6E5D6487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7A04B9"/>
    <w:rPr>
      <w:sz w:val="18"/>
      <w:szCs w:val="18"/>
    </w:rPr>
  </w:style>
  <w:style w:type="paragraph" w:styleId="a6">
    <w:name w:val="annotation text"/>
    <w:basedOn w:val="a"/>
    <w:link w:val="a7"/>
    <w:rsid w:val="007A04B9"/>
    <w:pPr>
      <w:jc w:val="left"/>
    </w:pPr>
    <w:rPr>
      <w:lang w:val="x-none" w:eastAsia="x-none"/>
    </w:rPr>
  </w:style>
  <w:style w:type="character" w:customStyle="1" w:styleId="a7">
    <w:name w:val="コメント文字列 (文字)"/>
    <w:link w:val="a6"/>
    <w:rsid w:val="007A04B9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7A04B9"/>
    <w:rPr>
      <w:b/>
      <w:bCs/>
    </w:rPr>
  </w:style>
  <w:style w:type="character" w:customStyle="1" w:styleId="a9">
    <w:name w:val="コメント内容 (文字)"/>
    <w:link w:val="a8"/>
    <w:rsid w:val="007A04B9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7A04B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7A04B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132AAF"/>
    <w:pPr>
      <w:jc w:val="right"/>
    </w:pPr>
    <w:rPr>
      <w:rFonts w:ascii="ＭＳ ゴシック" w:eastAsia="ＭＳ ゴシック" w:hAnsi="ＭＳ ゴシック" w:cs="ＭＳＰ明朝"/>
      <w:kern w:val="0"/>
      <w:szCs w:val="21"/>
    </w:rPr>
  </w:style>
  <w:style w:type="character" w:customStyle="1" w:styleId="ad">
    <w:name w:val="結語 (文字)"/>
    <w:link w:val="ac"/>
    <w:uiPriority w:val="99"/>
    <w:rsid w:val="00132AAF"/>
    <w:rPr>
      <w:rFonts w:ascii="ＭＳ ゴシック" w:eastAsia="ＭＳ ゴシック" w:hAnsi="ＭＳ ゴシック" w:cs="ＭＳＰ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平成１４年度生体超分子複合体構造解析ビームライン（大阪大学蛋白質研究所）</vt:lpstr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平成１４年度生体超分子複合体構造解析ビームライン（大阪大学蛋白質研究所）</dc:title>
  <dc:creator>大阪大学</dc:creator>
  <cp:lastModifiedBy>高橋　孝治</cp:lastModifiedBy>
  <cp:revision>6</cp:revision>
  <cp:lastPrinted>2014-02-05T05:24:00Z</cp:lastPrinted>
  <dcterms:created xsi:type="dcterms:W3CDTF">2021-11-10T00:54:00Z</dcterms:created>
  <dcterms:modified xsi:type="dcterms:W3CDTF">2021-11-10T01:03:00Z</dcterms:modified>
</cp:coreProperties>
</file>